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C1811" w14:textId="77777777" w:rsidR="003969F9" w:rsidRDefault="003969F9" w:rsidP="00250BCB">
      <w:pPr>
        <w:rPr>
          <w:b/>
          <w:bCs/>
          <w:lang w:val="sv-SE"/>
        </w:rPr>
      </w:pPr>
    </w:p>
    <w:p w14:paraId="34F056E2" w14:textId="4ACA6BEA" w:rsidR="00250BCB" w:rsidRPr="009069E4" w:rsidRDefault="00FA2710" w:rsidP="00250BCB">
      <w:pPr>
        <w:rPr>
          <w:b/>
          <w:bCs/>
          <w:lang w:val="sv-SE"/>
        </w:rPr>
      </w:pPr>
      <w:r w:rsidRPr="009069E4">
        <w:rPr>
          <w:b/>
          <w:bCs/>
          <w:lang w:val="sv-SE"/>
        </w:rPr>
        <w:t>Styrelsens redogörelse enligt 16a kap</w:t>
      </w:r>
      <w:r w:rsidR="00E97B9B" w:rsidRPr="009069E4">
        <w:rPr>
          <w:b/>
          <w:bCs/>
          <w:lang w:val="sv-SE"/>
        </w:rPr>
        <w:t>.</w:t>
      </w:r>
      <w:r w:rsidRPr="009069E4">
        <w:rPr>
          <w:b/>
          <w:bCs/>
          <w:lang w:val="sv-SE"/>
        </w:rPr>
        <w:t xml:space="preserve"> 7 § aktiebolagslagen</w:t>
      </w:r>
    </w:p>
    <w:p w14:paraId="529AC0EE" w14:textId="5FCC554B" w:rsidR="00AC0152" w:rsidRPr="00AC0152" w:rsidRDefault="00AC0152" w:rsidP="00250BCB">
      <w:pPr>
        <w:rPr>
          <w:b/>
          <w:bCs/>
          <w:i/>
          <w:iCs/>
          <w:lang w:val="en-US"/>
        </w:rPr>
      </w:pPr>
      <w:r w:rsidRPr="00AC0152">
        <w:rPr>
          <w:b/>
          <w:bCs/>
          <w:i/>
          <w:iCs/>
          <w:lang w:val="en-US"/>
        </w:rPr>
        <w:t>The Board of Directors</w:t>
      </w:r>
      <w:r w:rsidR="00BC452F">
        <w:rPr>
          <w:b/>
          <w:bCs/>
          <w:i/>
          <w:iCs/>
          <w:lang w:val="en-US"/>
        </w:rPr>
        <w:t>’</w:t>
      </w:r>
      <w:r w:rsidRPr="00AC0152">
        <w:rPr>
          <w:b/>
          <w:bCs/>
          <w:i/>
          <w:iCs/>
          <w:lang w:val="en-US"/>
        </w:rPr>
        <w:t xml:space="preserve"> s</w:t>
      </w:r>
      <w:r>
        <w:rPr>
          <w:b/>
          <w:bCs/>
          <w:i/>
          <w:iCs/>
          <w:lang w:val="en-US"/>
        </w:rPr>
        <w:t xml:space="preserve">tatement </w:t>
      </w:r>
      <w:r w:rsidR="009014D6">
        <w:rPr>
          <w:b/>
          <w:bCs/>
          <w:i/>
          <w:iCs/>
          <w:lang w:val="en-US"/>
        </w:rPr>
        <w:t>pursuant to Chapter 16a Section 7 of the Swedish Companies Act</w:t>
      </w:r>
    </w:p>
    <w:p w14:paraId="46848A61" w14:textId="65BD9722" w:rsidR="00FA2710" w:rsidRPr="00AC0152" w:rsidRDefault="00FA2710" w:rsidP="00250BCB">
      <w:pPr>
        <w:rPr>
          <w:lang w:val="en-US"/>
        </w:rPr>
      </w:pPr>
    </w:p>
    <w:p w14:paraId="355BE2C5" w14:textId="0AF4C02E" w:rsidR="00FA2710" w:rsidRDefault="00FA2710" w:rsidP="00250BCB">
      <w:pPr>
        <w:rPr>
          <w:lang w:val="sv-SE"/>
        </w:rPr>
      </w:pPr>
      <w:r>
        <w:rPr>
          <w:lang w:val="sv-SE"/>
        </w:rPr>
        <w:t>Såsom redogörelse enligt 16a kap</w:t>
      </w:r>
      <w:r w:rsidR="00E97B9B">
        <w:rPr>
          <w:lang w:val="sv-SE"/>
        </w:rPr>
        <w:t>.</w:t>
      </w:r>
      <w:r>
        <w:rPr>
          <w:lang w:val="sv-SE"/>
        </w:rPr>
        <w:t xml:space="preserve"> 7 § aktiebolagslagen, såsom tillämpbar</w:t>
      </w:r>
      <w:r w:rsidR="00DA4B36">
        <w:rPr>
          <w:lang w:val="sv-SE"/>
        </w:rPr>
        <w:t xml:space="preserve"> </w:t>
      </w:r>
      <w:r>
        <w:rPr>
          <w:lang w:val="sv-SE"/>
        </w:rPr>
        <w:t>jämlikt Aktiemarknadsnämndens uttalande 2019:25, får styrelsen</w:t>
      </w:r>
      <w:r w:rsidR="00733ED3">
        <w:rPr>
          <w:lang w:val="sv-SE"/>
        </w:rPr>
        <w:t xml:space="preserve"> för</w:t>
      </w:r>
      <w:r>
        <w:rPr>
          <w:lang w:val="sv-SE"/>
        </w:rPr>
        <w:t xml:space="preserve"> </w:t>
      </w:r>
      <w:r w:rsidR="00733ED3">
        <w:rPr>
          <w:lang w:val="sv-SE"/>
        </w:rPr>
        <w:t>BuildData Group AB</w:t>
      </w:r>
      <w:r>
        <w:rPr>
          <w:lang w:val="sv-SE"/>
        </w:rPr>
        <w:t xml:space="preserve"> (”</w:t>
      </w:r>
      <w:r w:rsidRPr="00FA2710">
        <w:rPr>
          <w:b/>
          <w:bCs/>
          <w:lang w:val="sv-SE"/>
        </w:rPr>
        <w:t>Bolaget</w:t>
      </w:r>
      <w:r>
        <w:rPr>
          <w:lang w:val="sv-SE"/>
        </w:rPr>
        <w:t>”) anföra följande.</w:t>
      </w:r>
    </w:p>
    <w:p w14:paraId="73B19ACC" w14:textId="5A1E679B" w:rsidR="00FA2710" w:rsidRPr="00AC0152" w:rsidRDefault="00AC0152" w:rsidP="00250BCB">
      <w:pPr>
        <w:rPr>
          <w:i/>
          <w:iCs/>
          <w:lang w:val="en-US"/>
        </w:rPr>
      </w:pPr>
      <w:r w:rsidRPr="00AC0152">
        <w:rPr>
          <w:i/>
          <w:iCs/>
          <w:lang w:val="en-US"/>
        </w:rPr>
        <w:t>As a statement under C</w:t>
      </w:r>
      <w:r>
        <w:rPr>
          <w:i/>
          <w:iCs/>
          <w:lang w:val="en-US"/>
        </w:rPr>
        <w:t xml:space="preserve">hapter 16a Section 7 of the Swedish Companies Act, as applicable in accordance with the Swedish Securities Council ruling 2019:25, the Board of Directors of </w:t>
      </w:r>
      <w:proofErr w:type="spellStart"/>
      <w:r>
        <w:rPr>
          <w:i/>
          <w:iCs/>
          <w:lang w:val="en-US"/>
        </w:rPr>
        <w:t>BuildData</w:t>
      </w:r>
      <w:proofErr w:type="spellEnd"/>
      <w:r>
        <w:rPr>
          <w:i/>
          <w:iCs/>
          <w:lang w:val="en-US"/>
        </w:rPr>
        <w:t xml:space="preserve"> Group AB (the “</w:t>
      </w:r>
      <w:r w:rsidRPr="00AC0152">
        <w:rPr>
          <w:b/>
          <w:bCs/>
          <w:i/>
          <w:iCs/>
          <w:lang w:val="en-US"/>
        </w:rPr>
        <w:t>Company</w:t>
      </w:r>
      <w:r>
        <w:rPr>
          <w:i/>
          <w:iCs/>
          <w:lang w:val="en-US"/>
        </w:rPr>
        <w:t xml:space="preserve">”) states the following. </w:t>
      </w:r>
    </w:p>
    <w:p w14:paraId="3E8B1156" w14:textId="77777777" w:rsidR="00AC0152" w:rsidRPr="00AC0152" w:rsidRDefault="00AC0152" w:rsidP="00250BCB">
      <w:pPr>
        <w:rPr>
          <w:lang w:val="en-US"/>
        </w:rPr>
      </w:pPr>
    </w:p>
    <w:p w14:paraId="670BA6D2" w14:textId="5B798E48" w:rsidR="00733ED3" w:rsidRDefault="00733ED3" w:rsidP="00733ED3">
      <w:pPr>
        <w:rPr>
          <w:lang w:val="sv-SE"/>
        </w:rPr>
      </w:pPr>
      <w:r w:rsidRPr="00733ED3">
        <w:rPr>
          <w:lang w:val="sv-SE"/>
        </w:rPr>
        <w:t>I syfte att begränsa eventuell utspädning av Bolagets aktier har styrelsen undersökt möjligheten att återköpa teckningsoptioner emitterade i maj 2020 med en nyttjandeperiod från och med 1 september 2020 till och med 31 december 2025 (”</w:t>
      </w:r>
      <w:r w:rsidRPr="00733ED3">
        <w:rPr>
          <w:b/>
          <w:bCs/>
          <w:lang w:val="sv-SE"/>
        </w:rPr>
        <w:t>Teckningsoptionerna</w:t>
      </w:r>
      <w:r w:rsidRPr="00733ED3">
        <w:rPr>
          <w:lang w:val="sv-SE"/>
        </w:rPr>
        <w:t>”). En av innehavarna av Teckningsoptionerna, VD Gustave Geisendorf (”</w:t>
      </w:r>
      <w:r w:rsidRPr="00733ED3">
        <w:rPr>
          <w:b/>
          <w:bCs/>
          <w:lang w:val="sv-SE"/>
        </w:rPr>
        <w:t>Innehavaren</w:t>
      </w:r>
      <w:r w:rsidRPr="00733ED3">
        <w:rPr>
          <w:lang w:val="sv-SE"/>
        </w:rPr>
        <w:t>”), har meddelat att han önskar delta i erbjudande genom att överlåta 2 494 533 Teckningsoptioner (”</w:t>
      </w:r>
      <w:r w:rsidRPr="00733ED3">
        <w:rPr>
          <w:b/>
          <w:bCs/>
          <w:lang w:val="sv-SE"/>
        </w:rPr>
        <w:t>Transaktionen</w:t>
      </w:r>
      <w:r w:rsidRPr="00733ED3">
        <w:rPr>
          <w:lang w:val="sv-SE"/>
        </w:rPr>
        <w:t>”). I enlighet med 16a kap. 7 § aktiebolagslagen, måste väsentliga transaktioner med närstående parter godkännas av bolagsstämman. Styrelsen lägger härmed fram ett förslag avseende Transaktionen och en redogörelse enligt 16a kap. 7 § aktiebolagslagen.</w:t>
      </w:r>
    </w:p>
    <w:p w14:paraId="61544C5A" w14:textId="057BBB76" w:rsidR="00AC0152" w:rsidRPr="00AC0152" w:rsidRDefault="00AC0152" w:rsidP="00733ED3">
      <w:pPr>
        <w:rPr>
          <w:i/>
          <w:iCs/>
          <w:lang w:val="en-US"/>
        </w:rPr>
      </w:pPr>
      <w:proofErr w:type="gramStart"/>
      <w:r w:rsidRPr="00AC0152">
        <w:rPr>
          <w:i/>
          <w:iCs/>
        </w:rPr>
        <w:t>For the purpose of</w:t>
      </w:r>
      <w:proofErr w:type="gramEnd"/>
      <w:r w:rsidRPr="00AC0152">
        <w:rPr>
          <w:i/>
          <w:iCs/>
        </w:rPr>
        <w:t xml:space="preserve"> reducing potential dilution of the Company’s shares, the Board of Directors has investigated the possibility for a repurchase of warrants issued in May 2020 with an exercise period from 1 September 2020 to 31 December 2025 (the “</w:t>
      </w:r>
      <w:r w:rsidRPr="00AC0152">
        <w:rPr>
          <w:b/>
          <w:bCs/>
          <w:i/>
          <w:iCs/>
        </w:rPr>
        <w:t>Warrants</w:t>
      </w:r>
      <w:r w:rsidRPr="00AC0152">
        <w:rPr>
          <w:i/>
          <w:iCs/>
        </w:rPr>
        <w:t>”). One holder of Warrants, CEO Gustave Geisendorf (the “</w:t>
      </w:r>
      <w:r w:rsidRPr="00AC0152">
        <w:rPr>
          <w:b/>
          <w:bCs/>
          <w:i/>
          <w:iCs/>
        </w:rPr>
        <w:t>Holder</w:t>
      </w:r>
      <w:r w:rsidRPr="00AC0152">
        <w:rPr>
          <w:i/>
          <w:iCs/>
        </w:rPr>
        <w:t>”), has informed the Company that he wishes to participate in the offer by selling 2,494,533 Warrants (the “</w:t>
      </w:r>
      <w:r w:rsidRPr="00AC0152">
        <w:rPr>
          <w:b/>
          <w:bCs/>
          <w:i/>
          <w:iCs/>
        </w:rPr>
        <w:t>Transaction</w:t>
      </w:r>
      <w:r w:rsidRPr="00AC0152">
        <w:rPr>
          <w:i/>
          <w:iCs/>
        </w:rPr>
        <w:t>”). According to Chapter 16 a Section 7 of the Swedish Companies Act, material transactions with related parties must be approved by a general meeting. The Board of Directors hereby submits a proposal for a decision on the Transaction and a report pursuant to Chapter 16 a Section 7 of the Swedish Companies Act.</w:t>
      </w:r>
    </w:p>
    <w:p w14:paraId="35757AE2" w14:textId="77777777" w:rsidR="00733ED3" w:rsidRPr="00AC0152" w:rsidRDefault="00733ED3" w:rsidP="00733ED3">
      <w:pPr>
        <w:rPr>
          <w:lang w:val="en-US"/>
        </w:rPr>
      </w:pPr>
    </w:p>
    <w:p w14:paraId="450BA765" w14:textId="1AB084DD" w:rsidR="00733ED3" w:rsidRDefault="00733ED3" w:rsidP="00733ED3">
      <w:pPr>
        <w:rPr>
          <w:lang w:val="sv-SE"/>
        </w:rPr>
      </w:pPr>
      <w:r w:rsidRPr="00733ED3">
        <w:rPr>
          <w:lang w:val="sv-SE"/>
        </w:rPr>
        <w:t>Det föreslås att Innehavaren ska ges möjligheten att överföra Teckningsoptionerna till Bolaget i stället för att nyttja de för teckning med efterföljande försäljning av aktier. Förslaget omfattar endast hur lösen av Teckningsoptionerna ska hanteras och innebär ingen ändring av villkoren för Teckningsoptionerna. Förslaget (i) är kostnadsneutralt för Bolagets aktieägare jämfört med om Teckningsoptionerna skulle lösas genom nyemission av nya aktier, vilka efter emissionen skulle säljas av Innehavaren, (ii) medför inga ytterligare skattekostnader för Bolaget, (iii) medför inte några transaktionsavgifter för Bolaget, och (iv) är administrativt enklare att hantera för Bolaget och Innehavaren. Utöver det kommer utspädningseffekten att minska genom att ett antal av Teckningsoptionerna återköps i stället för att nyttjas.</w:t>
      </w:r>
    </w:p>
    <w:p w14:paraId="00E5D3A0" w14:textId="5A6C9978" w:rsidR="00AC0152" w:rsidRPr="00AC0152" w:rsidRDefault="00AC0152" w:rsidP="00733ED3">
      <w:pPr>
        <w:rPr>
          <w:i/>
          <w:iCs/>
          <w:lang w:val="en-US"/>
        </w:rPr>
      </w:pPr>
      <w:r w:rsidRPr="00AC0152">
        <w:rPr>
          <w:i/>
          <w:iCs/>
        </w:rPr>
        <w:t>It is proposed that the Holder shall be given the opportunity to transfer Warrants to the Company instead of having to exercise these for subscription with the subsequent sale of shares. The proposal only concerns the settlement of the Warrants and does not entail any changes to the terms of the Warrants. The proposal (</w:t>
      </w:r>
      <w:proofErr w:type="spellStart"/>
      <w:r w:rsidRPr="00AC0152">
        <w:rPr>
          <w:i/>
          <w:iCs/>
        </w:rPr>
        <w:t>i</w:t>
      </w:r>
      <w:proofErr w:type="spellEnd"/>
      <w:r w:rsidRPr="00AC0152">
        <w:rPr>
          <w:i/>
          <w:iCs/>
        </w:rPr>
        <w:t>) is cost neutral for the Company’s shareholders compared to if the Warrants are to be settled by issuing new shares, which after the issuance would be sold by the Holder, (ii) does not entail any additional tax costs for the Company, (iii) does not entail any transaction fees for the Company, and (iv) is administratively more feasible to manage by the Company and the Holder. In addition, the dilutive effect of some of the Warrants being repurchased instead of being used to subscribe for shares will be reduced.</w:t>
      </w:r>
    </w:p>
    <w:p w14:paraId="233244C7" w14:textId="77777777" w:rsidR="00733ED3" w:rsidRPr="00AC0152" w:rsidRDefault="00733ED3" w:rsidP="00733ED3">
      <w:pPr>
        <w:rPr>
          <w:lang w:val="en-US"/>
        </w:rPr>
      </w:pPr>
    </w:p>
    <w:p w14:paraId="6B21B71D" w14:textId="495AE644" w:rsidR="00733ED3" w:rsidRDefault="00733ED3" w:rsidP="00733ED3">
      <w:pPr>
        <w:rPr>
          <w:lang w:val="sv-SE"/>
        </w:rPr>
      </w:pPr>
      <w:r w:rsidRPr="00733ED3">
        <w:rPr>
          <w:lang w:val="sv-SE"/>
        </w:rPr>
        <w:t xml:space="preserve">Styrelsen föreslår att Bolaget ska återköpa högst </w:t>
      </w:r>
      <w:r w:rsidR="00602D2A">
        <w:rPr>
          <w:lang w:val="sv-SE"/>
        </w:rPr>
        <w:t>2 550 590</w:t>
      </w:r>
      <w:r w:rsidRPr="00733ED3">
        <w:rPr>
          <w:lang w:val="sv-SE"/>
        </w:rPr>
        <w:t xml:space="preserve"> teckningsoptioner från Innehavaren på marknadsmässiga villkor till en värdering om </w:t>
      </w:r>
      <w:r w:rsidR="00602D2A">
        <w:rPr>
          <w:lang w:val="sv-SE"/>
        </w:rPr>
        <w:t>2,42</w:t>
      </w:r>
      <w:r w:rsidRPr="00733ED3">
        <w:rPr>
          <w:lang w:val="sv-SE"/>
        </w:rPr>
        <w:t xml:space="preserve"> SEK per Teckningsoption. En Black &amp; Scholes värdering av Teckningsoptionerna </w:t>
      </w:r>
      <w:r w:rsidR="00B57710">
        <w:rPr>
          <w:lang w:val="sv-SE"/>
        </w:rPr>
        <w:t xml:space="preserve">har genomförts </w:t>
      </w:r>
      <w:r w:rsidRPr="00733ED3">
        <w:rPr>
          <w:lang w:val="sv-SE"/>
        </w:rPr>
        <w:t xml:space="preserve">av en tredje part. Om Innehavaren accepterar erbjudandet, uppgår ersättningen för erbjudandet till cirka </w:t>
      </w:r>
      <w:r w:rsidR="00602D2A">
        <w:rPr>
          <w:lang w:val="sv-SE"/>
        </w:rPr>
        <w:t xml:space="preserve">6 172 428 </w:t>
      </w:r>
      <w:r w:rsidRPr="00733ED3">
        <w:rPr>
          <w:lang w:val="sv-SE"/>
        </w:rPr>
        <w:t xml:space="preserve">SEK. Erbjudandet är villkorat av att Innehavaren återinvesterar hela återköpslikviden i aktier i Bolaget genom nyttjande av Innehavarens återstående 5 </w:t>
      </w:r>
      <w:r w:rsidR="00602D2A">
        <w:rPr>
          <w:lang w:val="sv-SE"/>
        </w:rPr>
        <w:t>410 410</w:t>
      </w:r>
      <w:r w:rsidRPr="00733ED3">
        <w:rPr>
          <w:lang w:val="sv-SE"/>
        </w:rPr>
        <w:t xml:space="preserve"> Teckningsoptioner. För det fall återköpet genomförs med efterföljande nyttjande av Teckningsoptioner kommer Innehavaren inte inneha några Teckningsoptioner. Erbjudandet innebär inte heller att Innehavaren mottar några likvida medel.</w:t>
      </w:r>
    </w:p>
    <w:p w14:paraId="24C41E0D" w14:textId="0657D2AC" w:rsidR="009014D6" w:rsidRPr="009014D6" w:rsidRDefault="009014D6" w:rsidP="00733ED3">
      <w:pPr>
        <w:rPr>
          <w:i/>
          <w:iCs/>
          <w:lang w:val="en-US"/>
        </w:rPr>
      </w:pPr>
      <w:r w:rsidRPr="009014D6">
        <w:rPr>
          <w:i/>
          <w:iCs/>
        </w:rPr>
        <w:t xml:space="preserve">The Board of Directors proposes that the Company shall repurchase </w:t>
      </w:r>
      <w:r w:rsidR="00602D2A">
        <w:rPr>
          <w:i/>
          <w:iCs/>
        </w:rPr>
        <w:t>2,550,590</w:t>
      </w:r>
      <w:r w:rsidRPr="009014D6">
        <w:rPr>
          <w:i/>
          <w:iCs/>
        </w:rPr>
        <w:t xml:space="preserve"> Warrants from the Holder on market terms at a preliminary valuation of SEK </w:t>
      </w:r>
      <w:r w:rsidR="00602D2A">
        <w:rPr>
          <w:i/>
          <w:iCs/>
        </w:rPr>
        <w:t>2,42</w:t>
      </w:r>
      <w:r w:rsidRPr="009014D6">
        <w:rPr>
          <w:i/>
          <w:iCs/>
        </w:rPr>
        <w:t xml:space="preserve"> per Warrant. </w:t>
      </w:r>
      <w:r w:rsidR="00BC452F">
        <w:rPr>
          <w:i/>
          <w:iCs/>
        </w:rPr>
        <w:t>A</w:t>
      </w:r>
      <w:r w:rsidRPr="009014D6">
        <w:rPr>
          <w:i/>
          <w:iCs/>
        </w:rPr>
        <w:t xml:space="preserve"> Black &amp; Scholes valuation of the Warrants </w:t>
      </w:r>
      <w:r w:rsidR="00BC452F">
        <w:rPr>
          <w:i/>
          <w:iCs/>
        </w:rPr>
        <w:t xml:space="preserve">has been carried out by a </w:t>
      </w:r>
      <w:r w:rsidRPr="009014D6">
        <w:rPr>
          <w:i/>
          <w:iCs/>
        </w:rPr>
        <w:t xml:space="preserve">third party. If the Holder was to accept the offer, the consideration payable under the offer would amount to approximately SEK </w:t>
      </w:r>
      <w:r w:rsidR="00602D2A">
        <w:rPr>
          <w:i/>
          <w:iCs/>
        </w:rPr>
        <w:t>6,172,428</w:t>
      </w:r>
      <w:r w:rsidRPr="009014D6">
        <w:rPr>
          <w:i/>
          <w:iCs/>
        </w:rPr>
        <w:t xml:space="preserve">. The offer is conditional upon the Holder reinvesting </w:t>
      </w:r>
      <w:proofErr w:type="gramStart"/>
      <w:r w:rsidRPr="009014D6">
        <w:rPr>
          <w:i/>
          <w:iCs/>
        </w:rPr>
        <w:t>all of</w:t>
      </w:r>
      <w:proofErr w:type="gramEnd"/>
      <w:r w:rsidRPr="009014D6">
        <w:rPr>
          <w:i/>
          <w:iCs/>
        </w:rPr>
        <w:t xml:space="preserve"> the repurchase consideration in shares of the Company through the exercise of the Holder’s remaining 5,4</w:t>
      </w:r>
      <w:r w:rsidR="00602D2A">
        <w:rPr>
          <w:i/>
          <w:iCs/>
        </w:rPr>
        <w:t>14,410</w:t>
      </w:r>
      <w:r w:rsidRPr="009014D6">
        <w:rPr>
          <w:i/>
          <w:iCs/>
        </w:rPr>
        <w:t xml:space="preserve"> Warrants. For the avoidance of doubt, after the repurchase of the Warrants and subsequent exercise of the remaining Warrants, the Holder will have no Warrants </w:t>
      </w:r>
      <w:proofErr w:type="gramStart"/>
      <w:r w:rsidRPr="009014D6">
        <w:rPr>
          <w:i/>
          <w:iCs/>
        </w:rPr>
        <w:t>and also</w:t>
      </w:r>
      <w:proofErr w:type="gramEnd"/>
      <w:r w:rsidRPr="009014D6">
        <w:rPr>
          <w:i/>
          <w:iCs/>
        </w:rPr>
        <w:t xml:space="preserve"> receives no cash proceeds. </w:t>
      </w:r>
    </w:p>
    <w:p w14:paraId="30E7CFBB" w14:textId="77777777" w:rsidR="0090315F" w:rsidRPr="009014D6" w:rsidRDefault="0090315F" w:rsidP="00250BCB">
      <w:pPr>
        <w:rPr>
          <w:lang w:val="en-US"/>
        </w:rPr>
      </w:pPr>
    </w:p>
    <w:p w14:paraId="5A4FCB74" w14:textId="22BA9476" w:rsidR="0018675C" w:rsidRDefault="0055623E" w:rsidP="0055623E">
      <w:pPr>
        <w:rPr>
          <w:bCs/>
          <w:lang w:val="sv-SE"/>
        </w:rPr>
      </w:pPr>
      <w:r w:rsidRPr="0055623E">
        <w:rPr>
          <w:bCs/>
          <w:lang w:val="sv-SE"/>
        </w:rPr>
        <w:t xml:space="preserve">Mot bakgrund av att </w:t>
      </w:r>
      <w:r w:rsidR="00733ED3">
        <w:rPr>
          <w:bCs/>
          <w:lang w:val="sv-SE"/>
        </w:rPr>
        <w:t>(i) Gustave Geisendorf är verkställande direktör i Bolaget</w:t>
      </w:r>
      <w:r w:rsidRPr="0055623E">
        <w:rPr>
          <w:bCs/>
          <w:lang w:val="sv-SE"/>
        </w:rPr>
        <w:t xml:space="preserve"> </w:t>
      </w:r>
      <w:r w:rsidR="00733ED3">
        <w:rPr>
          <w:bCs/>
          <w:lang w:val="sv-SE"/>
        </w:rPr>
        <w:t xml:space="preserve">och (ii) </w:t>
      </w:r>
      <w:r w:rsidR="00B57710">
        <w:rPr>
          <w:bCs/>
          <w:lang w:val="sv-SE"/>
        </w:rPr>
        <w:t>återköpet motsvarar ett värde om</w:t>
      </w:r>
      <w:r w:rsidR="00733ED3">
        <w:rPr>
          <w:bCs/>
          <w:lang w:val="sv-SE"/>
        </w:rPr>
        <w:t xml:space="preserve"> </w:t>
      </w:r>
      <w:r w:rsidR="00602D2A">
        <w:rPr>
          <w:lang w:val="sv-SE"/>
        </w:rPr>
        <w:t xml:space="preserve">6 172 428 </w:t>
      </w:r>
      <w:r w:rsidR="00B57710">
        <w:rPr>
          <w:bCs/>
          <w:lang w:val="sv-SE"/>
        </w:rPr>
        <w:t>SEK</w:t>
      </w:r>
      <w:r w:rsidR="008B1EB0">
        <w:rPr>
          <w:bCs/>
          <w:lang w:val="sv-SE"/>
        </w:rPr>
        <w:t xml:space="preserve"> är förslaget att bedöma som </w:t>
      </w:r>
      <w:r w:rsidR="00A75F7C">
        <w:rPr>
          <w:bCs/>
          <w:lang w:val="sv-SE"/>
        </w:rPr>
        <w:t>en väsentlig närståendetransaktion enligt 16a kap 2</w:t>
      </w:r>
      <w:r w:rsidR="00B57710">
        <w:rPr>
          <w:bCs/>
          <w:lang w:val="sv-SE"/>
        </w:rPr>
        <w:t xml:space="preserve"> </w:t>
      </w:r>
      <w:r w:rsidR="00A75F7C">
        <w:rPr>
          <w:bCs/>
          <w:lang w:val="sv-SE"/>
        </w:rPr>
        <w:t>§ respektive</w:t>
      </w:r>
      <w:r w:rsidR="00B57710">
        <w:rPr>
          <w:bCs/>
          <w:lang w:val="sv-SE"/>
        </w:rPr>
        <w:t xml:space="preserve"> 16a kap 3 § aktiebolagslagen. </w:t>
      </w:r>
      <w:r w:rsidR="00A75F7C">
        <w:rPr>
          <w:bCs/>
          <w:lang w:val="sv-SE"/>
        </w:rPr>
        <w:t xml:space="preserve"> </w:t>
      </w:r>
    </w:p>
    <w:p w14:paraId="31EE3855" w14:textId="77D98EC0" w:rsidR="009014D6" w:rsidRPr="009014D6" w:rsidRDefault="00D10D21" w:rsidP="0055623E">
      <w:pPr>
        <w:rPr>
          <w:bCs/>
          <w:i/>
          <w:iCs/>
          <w:lang w:val="en-US"/>
        </w:rPr>
      </w:pPr>
      <w:r>
        <w:rPr>
          <w:bCs/>
          <w:i/>
          <w:iCs/>
          <w:lang w:val="en-US"/>
        </w:rPr>
        <w:t>Given that</w:t>
      </w:r>
      <w:r w:rsidR="009014D6" w:rsidRPr="009014D6">
        <w:rPr>
          <w:bCs/>
          <w:i/>
          <w:iCs/>
          <w:lang w:val="en-US"/>
        </w:rPr>
        <w:t xml:space="preserve"> (</w:t>
      </w:r>
      <w:proofErr w:type="spellStart"/>
      <w:r w:rsidR="009014D6" w:rsidRPr="009014D6">
        <w:rPr>
          <w:bCs/>
          <w:i/>
          <w:iCs/>
          <w:lang w:val="en-US"/>
        </w:rPr>
        <w:t>i</w:t>
      </w:r>
      <w:proofErr w:type="spellEnd"/>
      <w:r w:rsidR="009014D6" w:rsidRPr="009014D6">
        <w:rPr>
          <w:bCs/>
          <w:i/>
          <w:iCs/>
          <w:lang w:val="en-US"/>
        </w:rPr>
        <w:t xml:space="preserve">) Gustave Geisendorf is the CEO of the </w:t>
      </w:r>
      <w:r w:rsidR="009014D6">
        <w:rPr>
          <w:bCs/>
          <w:i/>
          <w:iCs/>
          <w:lang w:val="en-US"/>
        </w:rPr>
        <w:t xml:space="preserve">Company and (ii) the repurchase corresponds to a value of SEK </w:t>
      </w:r>
      <w:r w:rsidR="00602D2A">
        <w:rPr>
          <w:i/>
          <w:iCs/>
        </w:rPr>
        <w:t xml:space="preserve">6,172,428, </w:t>
      </w:r>
      <w:r w:rsidR="009014D6">
        <w:rPr>
          <w:bCs/>
          <w:i/>
          <w:iCs/>
          <w:lang w:val="en-US"/>
        </w:rPr>
        <w:t xml:space="preserve">the proposal is to be assessed as a material closely associated transaction pursuant to Chapter 16a, Section 2 and Chapter 16a, Section 3 of the Swedish Companies Act, respectively. </w:t>
      </w:r>
    </w:p>
    <w:p w14:paraId="701A5455" w14:textId="77777777" w:rsidR="004149E5" w:rsidRPr="009014D6" w:rsidRDefault="004149E5" w:rsidP="00250BCB">
      <w:pPr>
        <w:rPr>
          <w:lang w:val="en-US"/>
        </w:rPr>
      </w:pPr>
    </w:p>
    <w:p w14:paraId="2767404E" w14:textId="50AA8B2E" w:rsidR="009014D6" w:rsidRDefault="004149E5" w:rsidP="00250BCB">
      <w:pPr>
        <w:rPr>
          <w:lang w:val="sv-SE"/>
        </w:rPr>
      </w:pPr>
      <w:r>
        <w:rPr>
          <w:lang w:val="sv-SE"/>
        </w:rPr>
        <w:t xml:space="preserve">Bolaget </w:t>
      </w:r>
      <w:r w:rsidR="00733ED3">
        <w:rPr>
          <w:lang w:val="sv-SE"/>
        </w:rPr>
        <w:t>har</w:t>
      </w:r>
      <w:r>
        <w:rPr>
          <w:lang w:val="sv-SE"/>
        </w:rPr>
        <w:t xml:space="preserve"> utfärda</w:t>
      </w:r>
      <w:r w:rsidR="00733ED3">
        <w:rPr>
          <w:lang w:val="sv-SE"/>
        </w:rPr>
        <w:t>t</w:t>
      </w:r>
      <w:r>
        <w:rPr>
          <w:lang w:val="sv-SE"/>
        </w:rPr>
        <w:t xml:space="preserve"> kallelse till</w:t>
      </w:r>
      <w:r w:rsidR="009014D6">
        <w:rPr>
          <w:lang w:val="sv-SE"/>
        </w:rPr>
        <w:t xml:space="preserve"> årsstämma</w:t>
      </w:r>
      <w:r w:rsidR="00733ED3">
        <w:rPr>
          <w:lang w:val="sv-SE"/>
        </w:rPr>
        <w:t xml:space="preserve">. </w:t>
      </w:r>
      <w:r>
        <w:rPr>
          <w:lang w:val="sv-SE"/>
        </w:rPr>
        <w:t xml:space="preserve">Förutsatt att aktieägarna godkänner </w:t>
      </w:r>
      <w:r w:rsidR="00733ED3">
        <w:rPr>
          <w:lang w:val="sv-SE"/>
        </w:rPr>
        <w:t xml:space="preserve">återköpet förväntas </w:t>
      </w:r>
      <w:r w:rsidR="00A75F7C">
        <w:rPr>
          <w:lang w:val="sv-SE"/>
        </w:rPr>
        <w:t>återköpet ske kort därefter.</w:t>
      </w:r>
    </w:p>
    <w:p w14:paraId="18CDCEC6" w14:textId="355E5BC5" w:rsidR="00C1101E" w:rsidRPr="009014D6" w:rsidRDefault="009014D6" w:rsidP="00250BCB">
      <w:pPr>
        <w:rPr>
          <w:lang w:val="en-US"/>
        </w:rPr>
      </w:pPr>
      <w:r w:rsidRPr="009014D6">
        <w:rPr>
          <w:i/>
          <w:iCs/>
          <w:lang w:val="en-US"/>
        </w:rPr>
        <w:t xml:space="preserve">The Company has issued a notice to the </w:t>
      </w:r>
      <w:r>
        <w:rPr>
          <w:i/>
          <w:iCs/>
          <w:lang w:val="en-US"/>
        </w:rPr>
        <w:t xml:space="preserve">annual general meeting. Subject to shareholder approval, the repurchase is expected to take place shortly thereafter. </w:t>
      </w:r>
      <w:r w:rsidR="00A75F7C" w:rsidRPr="009014D6">
        <w:rPr>
          <w:lang w:val="en-US"/>
        </w:rPr>
        <w:t xml:space="preserve"> </w:t>
      </w:r>
    </w:p>
    <w:p w14:paraId="58848732" w14:textId="6F436253" w:rsidR="00774602" w:rsidRPr="009014D6" w:rsidRDefault="00774602" w:rsidP="00250BCB">
      <w:pPr>
        <w:rPr>
          <w:lang w:val="en-US"/>
        </w:rPr>
      </w:pPr>
    </w:p>
    <w:p w14:paraId="5E821239" w14:textId="1E566F96" w:rsidR="009014D6" w:rsidRDefault="009014D6" w:rsidP="009014D6">
      <w:pPr>
        <w:jc w:val="left"/>
        <w:rPr>
          <w:lang w:val="sv-SE"/>
        </w:rPr>
      </w:pPr>
      <w:r w:rsidRPr="00D10D21">
        <w:rPr>
          <w:lang w:val="sv-SE"/>
        </w:rPr>
        <w:t>Beslut</w:t>
      </w:r>
      <w:r w:rsidR="00D10D21" w:rsidRPr="00D10D21">
        <w:rPr>
          <w:lang w:val="sv-SE"/>
        </w:rPr>
        <w:t xml:space="preserve">et är </w:t>
      </w:r>
      <w:r w:rsidRPr="00D10D21">
        <w:rPr>
          <w:lang w:val="sv-SE"/>
        </w:rPr>
        <w:t xml:space="preserve">giltigt endast om beslutet biträds av aktieägare med hälften (1/2) av såväl de angivna rösterna som de aktier som är företrädda vid </w:t>
      </w:r>
      <w:r w:rsidR="00D10D21" w:rsidRPr="00D10D21">
        <w:rPr>
          <w:lang w:val="sv-SE"/>
        </w:rPr>
        <w:t>årsstämman</w:t>
      </w:r>
      <w:r w:rsidRPr="00D10D21">
        <w:rPr>
          <w:lang w:val="sv-SE"/>
        </w:rPr>
        <w:t>, varvid aktier som innehas av Gustave Geisendorf eller närstående till honom inte ska tas med i beräkningen.</w:t>
      </w:r>
    </w:p>
    <w:p w14:paraId="7503907A" w14:textId="2B4ECB10" w:rsidR="00D10D21" w:rsidRPr="00D10D21" w:rsidRDefault="00D10D21" w:rsidP="009014D6">
      <w:pPr>
        <w:jc w:val="left"/>
        <w:rPr>
          <w:lang w:val="en-US"/>
        </w:rPr>
      </w:pPr>
      <w:r w:rsidRPr="00D10D21">
        <w:rPr>
          <w:i/>
          <w:iCs/>
        </w:rPr>
        <w:t xml:space="preserve">A valid resolution pursuant to this requires that the resolution must be supported by shareholders representing more than half (1/2) of both the votes cast and the number of shares represented at the </w:t>
      </w:r>
      <w:r>
        <w:rPr>
          <w:i/>
          <w:iCs/>
        </w:rPr>
        <w:t>annual general meeting</w:t>
      </w:r>
      <w:r w:rsidRPr="00D10D21">
        <w:rPr>
          <w:i/>
          <w:iCs/>
        </w:rPr>
        <w:t xml:space="preserve">, whereby any shares held by Gustave Geisendorf or related parties shall not be </w:t>
      </w:r>
      <w:proofErr w:type="gramStart"/>
      <w:r w:rsidRPr="00D10D21">
        <w:rPr>
          <w:i/>
          <w:iCs/>
        </w:rPr>
        <w:t>taken into account</w:t>
      </w:r>
      <w:proofErr w:type="gramEnd"/>
      <w:r w:rsidRPr="00D10D21">
        <w:rPr>
          <w:i/>
          <w:iCs/>
        </w:rPr>
        <w:t>.</w:t>
      </w:r>
    </w:p>
    <w:p w14:paraId="49799366" w14:textId="77777777" w:rsidR="009014D6" w:rsidRPr="00D10D21" w:rsidRDefault="009014D6" w:rsidP="009014D6">
      <w:pPr>
        <w:jc w:val="left"/>
        <w:rPr>
          <w:i/>
          <w:iCs/>
          <w:lang w:val="en-US"/>
        </w:rPr>
      </w:pPr>
    </w:p>
    <w:p w14:paraId="0D379765" w14:textId="77777777" w:rsidR="00D10D21" w:rsidRPr="00D10D21" w:rsidRDefault="00D10D21" w:rsidP="009014D6">
      <w:pPr>
        <w:jc w:val="left"/>
        <w:rPr>
          <w:i/>
          <w:iCs/>
          <w:lang w:val="en-US"/>
        </w:rPr>
      </w:pPr>
    </w:p>
    <w:p w14:paraId="7590B541" w14:textId="5AA1D364" w:rsidR="00C1101E" w:rsidRPr="00AC0152" w:rsidRDefault="00C1101E" w:rsidP="00D10D21">
      <w:pPr>
        <w:jc w:val="center"/>
        <w:rPr>
          <w:lang w:val="sv-SE"/>
        </w:rPr>
      </w:pPr>
      <w:r w:rsidRPr="00AC0152">
        <w:rPr>
          <w:lang w:val="sv-SE"/>
        </w:rPr>
        <w:t>__________________</w:t>
      </w:r>
    </w:p>
    <w:p w14:paraId="05A406DD" w14:textId="3613F808" w:rsidR="00C1101E" w:rsidRPr="00AC0152" w:rsidRDefault="00C1101E" w:rsidP="00C1101E">
      <w:pPr>
        <w:jc w:val="center"/>
        <w:rPr>
          <w:lang w:val="sv-SE"/>
        </w:rPr>
      </w:pPr>
    </w:p>
    <w:p w14:paraId="371F2053" w14:textId="3FCFA3EA" w:rsidR="00C1101E" w:rsidRPr="00AC0152" w:rsidRDefault="00C1101E" w:rsidP="00C1101E">
      <w:pPr>
        <w:jc w:val="center"/>
        <w:rPr>
          <w:lang w:val="sv-SE"/>
        </w:rPr>
      </w:pPr>
      <w:r w:rsidRPr="00AC0152">
        <w:rPr>
          <w:lang w:val="sv-SE"/>
        </w:rPr>
        <w:t xml:space="preserve">Stockholm den </w:t>
      </w:r>
      <w:r w:rsidR="009069E4">
        <w:rPr>
          <w:lang w:val="sv-SE"/>
        </w:rPr>
        <w:t>24</w:t>
      </w:r>
      <w:r w:rsidR="00733ED3" w:rsidRPr="00AC0152">
        <w:rPr>
          <w:lang w:val="sv-SE"/>
        </w:rPr>
        <w:t xml:space="preserve"> oktober</w:t>
      </w:r>
      <w:r w:rsidRPr="00AC0152">
        <w:rPr>
          <w:lang w:val="sv-SE"/>
        </w:rPr>
        <w:t xml:space="preserve"> 2022</w:t>
      </w:r>
    </w:p>
    <w:p w14:paraId="5D8B8E81" w14:textId="7FEA7E50" w:rsidR="00C1101E" w:rsidRPr="00AC0152" w:rsidRDefault="00733ED3" w:rsidP="00C1101E">
      <w:pPr>
        <w:jc w:val="center"/>
        <w:rPr>
          <w:lang w:val="sv-SE"/>
        </w:rPr>
      </w:pPr>
      <w:r w:rsidRPr="00AC0152">
        <w:rPr>
          <w:lang w:val="sv-SE"/>
        </w:rPr>
        <w:t>BuildData Group AB</w:t>
      </w:r>
    </w:p>
    <w:p w14:paraId="001581B4" w14:textId="1C59ABF3" w:rsidR="00C1101E" w:rsidRPr="00C1101E" w:rsidRDefault="00C1101E" w:rsidP="00C1101E">
      <w:pPr>
        <w:jc w:val="center"/>
        <w:rPr>
          <w:i/>
          <w:iCs/>
          <w:lang w:val="sv-SE"/>
        </w:rPr>
      </w:pPr>
      <w:r w:rsidRPr="00C1101E">
        <w:rPr>
          <w:i/>
          <w:iCs/>
          <w:lang w:val="sv-SE"/>
        </w:rPr>
        <w:t>Styrelsen</w:t>
      </w:r>
    </w:p>
    <w:p w14:paraId="48E2CF18" w14:textId="77777777" w:rsidR="00FA2710" w:rsidRDefault="00FA2710" w:rsidP="00250BCB">
      <w:pPr>
        <w:rPr>
          <w:lang w:val="sv-SE"/>
        </w:rPr>
      </w:pPr>
    </w:p>
    <w:p w14:paraId="5EBFDCB3" w14:textId="0182A948" w:rsidR="00FA2710" w:rsidRDefault="00FA2710" w:rsidP="00250BCB">
      <w:pPr>
        <w:rPr>
          <w:lang w:val="sv-SE"/>
        </w:rPr>
      </w:pPr>
    </w:p>
    <w:p w14:paraId="0CA4D200" w14:textId="77777777" w:rsidR="00FA2710" w:rsidRPr="00FA2710" w:rsidRDefault="00FA2710" w:rsidP="00250BCB">
      <w:pPr>
        <w:rPr>
          <w:lang w:val="sv-SE"/>
        </w:rPr>
      </w:pPr>
    </w:p>
    <w:sectPr w:rsidR="00FA2710" w:rsidRPr="00FA2710" w:rsidSect="00DA55DB">
      <w:footerReference w:type="default" r:id="rId8"/>
      <w:pgSz w:w="11907" w:h="16840" w:code="9"/>
      <w:pgMar w:top="1418" w:right="1418" w:bottom="1418" w:left="1418" w:header="567" w:footer="34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B419D" w14:textId="77777777" w:rsidR="0065670E" w:rsidRDefault="0065670E" w:rsidP="005D30CA">
      <w:r>
        <w:separator/>
      </w:r>
    </w:p>
  </w:endnote>
  <w:endnote w:type="continuationSeparator" w:id="0">
    <w:p w14:paraId="119A58AC" w14:textId="77777777" w:rsidR="0065670E" w:rsidRDefault="0065670E" w:rsidP="005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B2A2" w14:textId="77777777" w:rsidR="00095D35" w:rsidRDefault="00095D35" w:rsidP="00E24157">
    <w:pPr>
      <w:pStyle w:val="Footer"/>
    </w:pPr>
    <w:r>
      <w:tab/>
    </w:r>
    <w:r w:rsidR="00EE1D30">
      <w:rPr>
        <w:rStyle w:val="PageNumber"/>
      </w:rPr>
      <w:fldChar w:fldCharType="begin"/>
    </w:r>
    <w:r>
      <w:rPr>
        <w:rStyle w:val="PageNumber"/>
      </w:rPr>
      <w:instrText xml:space="preserve"> PAGE </w:instrText>
    </w:r>
    <w:r w:rsidR="00EE1D30">
      <w:rPr>
        <w:rStyle w:val="PageNumber"/>
      </w:rPr>
      <w:fldChar w:fldCharType="separate"/>
    </w:r>
    <w:r w:rsidR="006C603B">
      <w:rPr>
        <w:rStyle w:val="PageNumber"/>
      </w:rPr>
      <w:t>1</w:t>
    </w:r>
    <w:r w:rsidR="00EE1D3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8B612" w14:textId="77777777" w:rsidR="0065670E" w:rsidRDefault="0065670E" w:rsidP="005D30CA">
      <w:r>
        <w:separator/>
      </w:r>
    </w:p>
  </w:footnote>
  <w:footnote w:type="continuationSeparator" w:id="0">
    <w:p w14:paraId="401AC0A9" w14:textId="77777777" w:rsidR="0065670E" w:rsidRDefault="0065670E" w:rsidP="005D3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2"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4"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7"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1699433323">
    <w:abstractNumId w:val="4"/>
  </w:num>
  <w:num w:numId="2" w16cid:durableId="1357192714">
    <w:abstractNumId w:val="7"/>
  </w:num>
  <w:num w:numId="3" w16cid:durableId="413745345">
    <w:abstractNumId w:val="6"/>
  </w:num>
  <w:num w:numId="4" w16cid:durableId="1763791958">
    <w:abstractNumId w:val="5"/>
  </w:num>
  <w:num w:numId="5" w16cid:durableId="1966037727">
    <w:abstractNumId w:val="1"/>
  </w:num>
  <w:num w:numId="6" w16cid:durableId="690952383">
    <w:abstractNumId w:val="3"/>
  </w:num>
  <w:num w:numId="7" w16cid:durableId="366686971">
    <w:abstractNumId w:val="0"/>
  </w:num>
  <w:num w:numId="8" w16cid:durableId="183784177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doNotHyphenateCap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10"/>
    <w:rsid w:val="00002D5A"/>
    <w:rsid w:val="00015E26"/>
    <w:rsid w:val="00085B91"/>
    <w:rsid w:val="00095D35"/>
    <w:rsid w:val="000D0EB3"/>
    <w:rsid w:val="000F7BFE"/>
    <w:rsid w:val="00182509"/>
    <w:rsid w:val="0018675C"/>
    <w:rsid w:val="00192F42"/>
    <w:rsid w:val="001A4A17"/>
    <w:rsid w:val="001C3CC1"/>
    <w:rsid w:val="001D081B"/>
    <w:rsid w:val="0022103D"/>
    <w:rsid w:val="00250BCB"/>
    <w:rsid w:val="00263FE0"/>
    <w:rsid w:val="00281BA0"/>
    <w:rsid w:val="002868B4"/>
    <w:rsid w:val="002D58E0"/>
    <w:rsid w:val="00361219"/>
    <w:rsid w:val="00365902"/>
    <w:rsid w:val="0038213C"/>
    <w:rsid w:val="003969F9"/>
    <w:rsid w:val="003B03DE"/>
    <w:rsid w:val="004149E5"/>
    <w:rsid w:val="0042448F"/>
    <w:rsid w:val="00437FD9"/>
    <w:rsid w:val="00456670"/>
    <w:rsid w:val="00480355"/>
    <w:rsid w:val="00495375"/>
    <w:rsid w:val="004A3402"/>
    <w:rsid w:val="004D7C14"/>
    <w:rsid w:val="00501E45"/>
    <w:rsid w:val="00514FF6"/>
    <w:rsid w:val="0052672E"/>
    <w:rsid w:val="0055623E"/>
    <w:rsid w:val="00595A4B"/>
    <w:rsid w:val="005D221E"/>
    <w:rsid w:val="005D30CA"/>
    <w:rsid w:val="005D5AA6"/>
    <w:rsid w:val="005F3FAA"/>
    <w:rsid w:val="00602C92"/>
    <w:rsid w:val="00602D2A"/>
    <w:rsid w:val="00623E8A"/>
    <w:rsid w:val="00633627"/>
    <w:rsid w:val="0065670E"/>
    <w:rsid w:val="0069099E"/>
    <w:rsid w:val="0069139F"/>
    <w:rsid w:val="006C603B"/>
    <w:rsid w:val="006D6242"/>
    <w:rsid w:val="006E4CD4"/>
    <w:rsid w:val="006F58C1"/>
    <w:rsid w:val="00733ED3"/>
    <w:rsid w:val="00741251"/>
    <w:rsid w:val="00746030"/>
    <w:rsid w:val="00774602"/>
    <w:rsid w:val="00785468"/>
    <w:rsid w:val="0079192D"/>
    <w:rsid w:val="007B4017"/>
    <w:rsid w:val="007C39CD"/>
    <w:rsid w:val="00815210"/>
    <w:rsid w:val="008229CD"/>
    <w:rsid w:val="008529DB"/>
    <w:rsid w:val="008610A1"/>
    <w:rsid w:val="008B1EB0"/>
    <w:rsid w:val="008E73E5"/>
    <w:rsid w:val="009014D6"/>
    <w:rsid w:val="0090315F"/>
    <w:rsid w:val="009069E4"/>
    <w:rsid w:val="00910356"/>
    <w:rsid w:val="00912445"/>
    <w:rsid w:val="0092211F"/>
    <w:rsid w:val="009633AC"/>
    <w:rsid w:val="009F6505"/>
    <w:rsid w:val="00A02A43"/>
    <w:rsid w:val="00A15360"/>
    <w:rsid w:val="00A36FD6"/>
    <w:rsid w:val="00A371A8"/>
    <w:rsid w:val="00A75F7C"/>
    <w:rsid w:val="00AA62BB"/>
    <w:rsid w:val="00AC0152"/>
    <w:rsid w:val="00AC787E"/>
    <w:rsid w:val="00B17DEB"/>
    <w:rsid w:val="00B21DD3"/>
    <w:rsid w:val="00B57710"/>
    <w:rsid w:val="00B6379F"/>
    <w:rsid w:val="00B766FA"/>
    <w:rsid w:val="00BC452F"/>
    <w:rsid w:val="00C1101E"/>
    <w:rsid w:val="00C2415D"/>
    <w:rsid w:val="00C4391A"/>
    <w:rsid w:val="00C4535D"/>
    <w:rsid w:val="00C62A96"/>
    <w:rsid w:val="00C74397"/>
    <w:rsid w:val="00CA13E5"/>
    <w:rsid w:val="00CA2D15"/>
    <w:rsid w:val="00CC3DE4"/>
    <w:rsid w:val="00D10D21"/>
    <w:rsid w:val="00D44B31"/>
    <w:rsid w:val="00D62BB9"/>
    <w:rsid w:val="00DA4B36"/>
    <w:rsid w:val="00DA55DB"/>
    <w:rsid w:val="00DC4564"/>
    <w:rsid w:val="00E23903"/>
    <w:rsid w:val="00E24157"/>
    <w:rsid w:val="00E32A95"/>
    <w:rsid w:val="00E75F20"/>
    <w:rsid w:val="00E97B9B"/>
    <w:rsid w:val="00EE1D30"/>
    <w:rsid w:val="00F06AF5"/>
    <w:rsid w:val="00F47BFE"/>
    <w:rsid w:val="00F74ED1"/>
    <w:rsid w:val="00FA2710"/>
    <w:rsid w:val="00FD64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A0EFC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03B"/>
    <w:pPr>
      <w:jc w:val="both"/>
    </w:pPr>
    <w:rPr>
      <w:rFonts w:ascii="Verdana" w:hAnsi="Verdana"/>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6C603B"/>
    <w:pPr>
      <w:tabs>
        <w:tab w:val="left" w:pos="851"/>
        <w:tab w:val="left" w:pos="1843"/>
        <w:tab w:val="left" w:pos="3119"/>
        <w:tab w:val="left" w:pos="4253"/>
      </w:tabs>
      <w:spacing w:after="240"/>
      <w:jc w:val="both"/>
    </w:pPr>
    <w:rPr>
      <w:rFonts w:ascii="Verdana" w:hAnsi="Verdana"/>
      <w:sz w:val="18"/>
      <w:lang w:eastAsia="en-GB"/>
    </w:rPr>
  </w:style>
  <w:style w:type="paragraph" w:customStyle="1" w:styleId="aDefinition">
    <w:name w:val="(a) Definition"/>
    <w:basedOn w:val="Body"/>
    <w:qFormat/>
    <w:rsid w:val="005D221E"/>
    <w:pPr>
      <w:numPr>
        <w:numId w:val="1"/>
      </w:numPr>
      <w:tabs>
        <w:tab w:val="clear" w:pos="1843"/>
        <w:tab w:val="clear" w:pos="3119"/>
        <w:tab w:val="clear" w:pos="4253"/>
      </w:tabs>
    </w:pPr>
  </w:style>
  <w:style w:type="paragraph" w:customStyle="1" w:styleId="iDefinition">
    <w:name w:val="(i) Definition"/>
    <w:basedOn w:val="Body"/>
    <w:qFormat/>
    <w:rsid w:val="005D221E"/>
    <w:pPr>
      <w:numPr>
        <w:ilvl w:val="1"/>
        <w:numId w:val="1"/>
      </w:numPr>
      <w:tabs>
        <w:tab w:val="clear" w:pos="851"/>
        <w:tab w:val="clear" w:pos="3119"/>
        <w:tab w:val="clear" w:pos="4253"/>
        <w:tab w:val="num" w:pos="360"/>
        <w:tab w:val="left" w:pos="1843"/>
      </w:tabs>
      <w:ind w:left="0" w:firstLine="0"/>
    </w:pPr>
  </w:style>
  <w:style w:type="paragraph" w:customStyle="1" w:styleId="Body1">
    <w:name w:val="Body 1"/>
    <w:basedOn w:val="Body"/>
    <w:qFormat/>
    <w:rsid w:val="005D221E"/>
    <w:pPr>
      <w:tabs>
        <w:tab w:val="clear" w:pos="851"/>
        <w:tab w:val="clear" w:pos="1843"/>
        <w:tab w:val="clear" w:pos="3119"/>
        <w:tab w:val="clear" w:pos="4253"/>
      </w:tabs>
      <w:ind w:left="851"/>
    </w:pPr>
  </w:style>
  <w:style w:type="paragraph" w:customStyle="1" w:styleId="Background">
    <w:name w:val="Background"/>
    <w:basedOn w:val="Body1"/>
    <w:qFormat/>
    <w:rsid w:val="005D221E"/>
    <w:pPr>
      <w:numPr>
        <w:numId w:val="2"/>
      </w:numPr>
    </w:pPr>
  </w:style>
  <w:style w:type="paragraph" w:customStyle="1" w:styleId="Body2">
    <w:name w:val="Body 2"/>
    <w:basedOn w:val="Body1"/>
    <w:qFormat/>
    <w:rsid w:val="005D221E"/>
  </w:style>
  <w:style w:type="paragraph" w:customStyle="1" w:styleId="Body3">
    <w:name w:val="Body 3"/>
    <w:basedOn w:val="Body2"/>
    <w:qFormat/>
    <w:rsid w:val="005D221E"/>
    <w:pPr>
      <w:ind w:left="1843"/>
    </w:pPr>
  </w:style>
  <w:style w:type="paragraph" w:customStyle="1" w:styleId="Body4">
    <w:name w:val="Body 4"/>
    <w:basedOn w:val="Body3"/>
    <w:qFormat/>
    <w:rsid w:val="005D221E"/>
    <w:pPr>
      <w:ind w:left="3119"/>
    </w:pPr>
  </w:style>
  <w:style w:type="paragraph" w:customStyle="1" w:styleId="Body5">
    <w:name w:val="Body 5"/>
    <w:basedOn w:val="Body3"/>
    <w:qFormat/>
    <w:rsid w:val="005D221E"/>
    <w:pPr>
      <w:ind w:left="3119"/>
    </w:pPr>
  </w:style>
  <w:style w:type="paragraph" w:customStyle="1" w:styleId="Bullet1">
    <w:name w:val="Bullet 1"/>
    <w:basedOn w:val="Body1"/>
    <w:qFormat/>
    <w:rsid w:val="005D221E"/>
    <w:pPr>
      <w:numPr>
        <w:numId w:val="3"/>
      </w:numPr>
    </w:pPr>
  </w:style>
  <w:style w:type="paragraph" w:customStyle="1" w:styleId="Bullet2">
    <w:name w:val="Bullet 2"/>
    <w:basedOn w:val="Body2"/>
    <w:qFormat/>
    <w:rsid w:val="005D221E"/>
    <w:pPr>
      <w:numPr>
        <w:ilvl w:val="1"/>
        <w:numId w:val="3"/>
      </w:numPr>
    </w:pPr>
  </w:style>
  <w:style w:type="paragraph" w:customStyle="1" w:styleId="Bullet3">
    <w:name w:val="Bullet 3"/>
    <w:basedOn w:val="Body3"/>
    <w:qFormat/>
    <w:rsid w:val="005D221E"/>
    <w:pPr>
      <w:numPr>
        <w:ilvl w:val="2"/>
        <w:numId w:val="3"/>
      </w:numPr>
    </w:pPr>
  </w:style>
  <w:style w:type="character" w:customStyle="1" w:styleId="CrossReference">
    <w:name w:val="Cross Reference"/>
    <w:basedOn w:val="DefaultParagraphFont"/>
    <w:qFormat/>
    <w:rsid w:val="005D221E"/>
    <w:rPr>
      <w:b/>
    </w:rPr>
  </w:style>
  <w:style w:type="paragraph" w:styleId="Footer">
    <w:name w:val="footer"/>
    <w:basedOn w:val="Normal"/>
    <w:semiHidden/>
    <w:rsid w:val="005D221E"/>
    <w:pPr>
      <w:tabs>
        <w:tab w:val="center" w:pos="4536"/>
      </w:tabs>
    </w:pPr>
    <w:rPr>
      <w:noProof/>
      <w:sz w:val="16"/>
    </w:rPr>
  </w:style>
  <w:style w:type="character" w:styleId="FootnoteReference">
    <w:name w:val="footnote reference"/>
    <w:basedOn w:val="DefaultParagraphFont"/>
    <w:semiHidden/>
    <w:rsid w:val="005D221E"/>
    <w:rPr>
      <w:rFonts w:ascii="Tahoma" w:hAnsi="Tahoma"/>
      <w:b/>
      <w:color w:val="auto"/>
      <w:sz w:val="20"/>
      <w:u w:val="none"/>
      <w:vertAlign w:val="superscript"/>
    </w:rPr>
  </w:style>
  <w:style w:type="paragraph" w:styleId="FootnoteText">
    <w:name w:val="footnote text"/>
    <w:next w:val="FootnoteTextContinuation"/>
    <w:semiHidden/>
    <w:rsid w:val="00250BCB"/>
    <w:pPr>
      <w:tabs>
        <w:tab w:val="left" w:pos="851"/>
      </w:tabs>
      <w:spacing w:after="60"/>
      <w:ind w:left="851" w:hanging="851"/>
    </w:pPr>
    <w:rPr>
      <w:rFonts w:ascii="Tahoma" w:hAnsi="Tahoma"/>
      <w:sz w:val="16"/>
      <w:lang w:eastAsia="en-GB"/>
    </w:rPr>
  </w:style>
  <w:style w:type="paragraph" w:styleId="Header">
    <w:name w:val="header"/>
    <w:basedOn w:val="Normal"/>
    <w:semiHidden/>
    <w:rsid w:val="005D221E"/>
    <w:pPr>
      <w:tabs>
        <w:tab w:val="center" w:pos="4536"/>
        <w:tab w:val="right" w:pos="9072"/>
      </w:tabs>
    </w:pPr>
    <w:rPr>
      <w:noProof/>
      <w:sz w:val="16"/>
    </w:rPr>
  </w:style>
  <w:style w:type="paragraph" w:customStyle="1" w:styleId="Level1">
    <w:name w:val="Level 1"/>
    <w:basedOn w:val="Body1"/>
    <w:qFormat/>
    <w:rsid w:val="005D221E"/>
    <w:pPr>
      <w:numPr>
        <w:numId w:val="4"/>
      </w:numPr>
      <w:outlineLvl w:val="0"/>
    </w:pPr>
  </w:style>
  <w:style w:type="character" w:customStyle="1" w:styleId="Level1asHeadingtext">
    <w:name w:val="Level 1 as Heading (text)"/>
    <w:basedOn w:val="DefaultParagraphFont"/>
    <w:rsid w:val="005D221E"/>
    <w:rPr>
      <w:b/>
    </w:rPr>
  </w:style>
  <w:style w:type="paragraph" w:customStyle="1" w:styleId="Level2">
    <w:name w:val="Level 2"/>
    <w:basedOn w:val="Body2"/>
    <w:qFormat/>
    <w:rsid w:val="005D221E"/>
    <w:pPr>
      <w:numPr>
        <w:ilvl w:val="1"/>
        <w:numId w:val="4"/>
      </w:numPr>
      <w:outlineLvl w:val="1"/>
    </w:pPr>
  </w:style>
  <w:style w:type="character" w:customStyle="1" w:styleId="Level2asHeadingtext">
    <w:name w:val="Level 2 as Heading (text)"/>
    <w:basedOn w:val="DefaultParagraphFont"/>
    <w:rsid w:val="005D221E"/>
    <w:rPr>
      <w:b/>
    </w:rPr>
  </w:style>
  <w:style w:type="paragraph" w:customStyle="1" w:styleId="Level3">
    <w:name w:val="Level 3"/>
    <w:basedOn w:val="Body3"/>
    <w:qFormat/>
    <w:rsid w:val="005D221E"/>
    <w:pPr>
      <w:numPr>
        <w:ilvl w:val="2"/>
        <w:numId w:val="4"/>
      </w:numPr>
      <w:outlineLvl w:val="2"/>
    </w:pPr>
  </w:style>
  <w:style w:type="character" w:customStyle="1" w:styleId="Level3asHeadingtext">
    <w:name w:val="Level 3 as Heading (text)"/>
    <w:basedOn w:val="DefaultParagraphFont"/>
    <w:rsid w:val="005D221E"/>
    <w:rPr>
      <w:b/>
    </w:rPr>
  </w:style>
  <w:style w:type="paragraph" w:customStyle="1" w:styleId="Level4">
    <w:name w:val="Level 4"/>
    <w:basedOn w:val="Body4"/>
    <w:qFormat/>
    <w:rsid w:val="005D221E"/>
    <w:pPr>
      <w:numPr>
        <w:ilvl w:val="3"/>
        <w:numId w:val="4"/>
      </w:numPr>
      <w:outlineLvl w:val="3"/>
    </w:pPr>
  </w:style>
  <w:style w:type="paragraph" w:customStyle="1" w:styleId="Level5">
    <w:name w:val="Level 5"/>
    <w:basedOn w:val="Body5"/>
    <w:qFormat/>
    <w:rsid w:val="005D221E"/>
    <w:pPr>
      <w:numPr>
        <w:ilvl w:val="4"/>
        <w:numId w:val="4"/>
      </w:numPr>
      <w:outlineLvl w:val="4"/>
    </w:pPr>
  </w:style>
  <w:style w:type="character" w:styleId="PageNumber">
    <w:name w:val="page number"/>
    <w:basedOn w:val="DefaultParagraphFont"/>
    <w:semiHidden/>
    <w:rsid w:val="005D221E"/>
    <w:rPr>
      <w:sz w:val="16"/>
    </w:rPr>
  </w:style>
  <w:style w:type="paragraph" w:customStyle="1" w:styleId="Parties">
    <w:name w:val="Parties"/>
    <w:basedOn w:val="Body1"/>
    <w:qFormat/>
    <w:rsid w:val="005D221E"/>
    <w:pPr>
      <w:numPr>
        <w:numId w:val="5"/>
      </w:numPr>
    </w:pPr>
  </w:style>
  <w:style w:type="paragraph" w:customStyle="1" w:styleId="Rule1">
    <w:name w:val="Rule 1"/>
    <w:basedOn w:val="Body"/>
    <w:semiHidden/>
    <w:unhideWhenUsed/>
    <w:rsid w:val="005D221E"/>
    <w:pPr>
      <w:keepNext/>
      <w:numPr>
        <w:numId w:val="6"/>
      </w:numPr>
      <w:tabs>
        <w:tab w:val="clear" w:pos="851"/>
        <w:tab w:val="clear" w:pos="1077"/>
        <w:tab w:val="clear" w:pos="1843"/>
        <w:tab w:val="clear" w:pos="3119"/>
        <w:tab w:val="clear" w:pos="4253"/>
      </w:tabs>
      <w:ind w:left="1843" w:hanging="992"/>
    </w:pPr>
    <w:rPr>
      <w:b/>
    </w:rPr>
  </w:style>
  <w:style w:type="paragraph" w:customStyle="1" w:styleId="Rule2">
    <w:name w:val="Rule 2"/>
    <w:basedOn w:val="Body2"/>
    <w:semiHidden/>
    <w:unhideWhenUsed/>
    <w:rsid w:val="005D221E"/>
    <w:pPr>
      <w:numPr>
        <w:ilvl w:val="1"/>
        <w:numId w:val="6"/>
      </w:numPr>
      <w:tabs>
        <w:tab w:val="clear" w:pos="1077"/>
        <w:tab w:val="num" w:pos="3119"/>
      </w:tabs>
      <w:ind w:left="3119" w:hanging="1276"/>
    </w:pPr>
  </w:style>
  <w:style w:type="paragraph" w:customStyle="1" w:styleId="Rule3">
    <w:name w:val="Rule 3"/>
    <w:basedOn w:val="Body3"/>
    <w:semiHidden/>
    <w:unhideWhenUsed/>
    <w:rsid w:val="005D221E"/>
    <w:pPr>
      <w:numPr>
        <w:ilvl w:val="2"/>
        <w:numId w:val="6"/>
      </w:numPr>
    </w:pPr>
  </w:style>
  <w:style w:type="paragraph" w:customStyle="1" w:styleId="Rule4">
    <w:name w:val="Rule 4"/>
    <w:basedOn w:val="Body4"/>
    <w:semiHidden/>
    <w:unhideWhenUsed/>
    <w:rsid w:val="005D221E"/>
    <w:pPr>
      <w:numPr>
        <w:ilvl w:val="3"/>
        <w:numId w:val="6"/>
      </w:numPr>
    </w:pPr>
  </w:style>
  <w:style w:type="paragraph" w:customStyle="1" w:styleId="Rule5">
    <w:name w:val="Rule 5"/>
    <w:basedOn w:val="Body5"/>
    <w:semiHidden/>
    <w:unhideWhenUsed/>
    <w:rsid w:val="005D221E"/>
    <w:pPr>
      <w:numPr>
        <w:ilvl w:val="4"/>
        <w:numId w:val="6"/>
      </w:numPr>
    </w:pPr>
  </w:style>
  <w:style w:type="paragraph" w:customStyle="1" w:styleId="Schedule">
    <w:name w:val="Schedule"/>
    <w:basedOn w:val="Normal"/>
    <w:semiHidden/>
    <w:rsid w:val="005D221E"/>
    <w:pPr>
      <w:keepNext/>
      <w:numPr>
        <w:numId w:val="7"/>
      </w:numPr>
      <w:spacing w:after="240"/>
      <w:jc w:val="center"/>
    </w:pPr>
    <w:rPr>
      <w:b/>
      <w:caps/>
      <w:sz w:val="24"/>
    </w:rPr>
  </w:style>
  <w:style w:type="paragraph" w:customStyle="1" w:styleId="ScheduleTitle">
    <w:name w:val="Schedule Title"/>
    <w:basedOn w:val="Body"/>
    <w:qFormat/>
    <w:rsid w:val="005D221E"/>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0D0EB3"/>
    <w:pPr>
      <w:numPr>
        <w:numId w:val="8"/>
      </w:numPr>
      <w:tabs>
        <w:tab w:val="clear" w:pos="851"/>
        <w:tab w:val="clear" w:pos="3119"/>
        <w:tab w:val="clear" w:pos="4253"/>
      </w:tabs>
    </w:pPr>
  </w:style>
  <w:style w:type="paragraph" w:customStyle="1" w:styleId="Sideheading">
    <w:name w:val="Sideheading"/>
    <w:basedOn w:val="Body"/>
    <w:qFormat/>
    <w:rsid w:val="005D221E"/>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0D0EB3"/>
    <w:pPr>
      <w:numPr>
        <w:ilvl w:val="1"/>
      </w:numPr>
    </w:pPr>
  </w:style>
  <w:style w:type="paragraph" w:styleId="TOC1">
    <w:name w:val="toc 1"/>
    <w:basedOn w:val="Body"/>
    <w:next w:val="Normal"/>
    <w:semiHidden/>
    <w:rsid w:val="005D221E"/>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rsid w:val="005D221E"/>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semiHidden/>
    <w:rsid w:val="005D221E"/>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TOC5">
    <w:name w:val="toc 5"/>
    <w:basedOn w:val="TOC1"/>
    <w:next w:val="Normal"/>
    <w:semiHidden/>
    <w:rsid w:val="0079192D"/>
    <w:pPr>
      <w:tabs>
        <w:tab w:val="clear" w:pos="851"/>
      </w:tabs>
      <w:ind w:firstLine="0"/>
    </w:pPr>
    <w:rPr>
      <w:caps w:val="0"/>
    </w:rPr>
  </w:style>
  <w:style w:type="paragraph" w:styleId="TOC6">
    <w:name w:val="toc 6"/>
    <w:basedOn w:val="Normal"/>
    <w:next w:val="Normal"/>
    <w:semiHidden/>
    <w:rsid w:val="005D221E"/>
    <w:pPr>
      <w:tabs>
        <w:tab w:val="right" w:leader="dot" w:pos="9072"/>
      </w:tabs>
      <w:ind w:left="2835" w:right="851" w:hanging="1134"/>
    </w:pPr>
    <w:rPr>
      <w:noProof/>
    </w:rPr>
  </w:style>
  <w:style w:type="paragraph" w:customStyle="1" w:styleId="FootnoteTextContinuation">
    <w:name w:val="Footnote Text Continuation"/>
    <w:basedOn w:val="FootnoteText"/>
    <w:semiHidden/>
    <w:rsid w:val="00250BCB"/>
    <w:pPr>
      <w:ind w:firstLine="0"/>
    </w:pPr>
  </w:style>
  <w:style w:type="paragraph" w:styleId="Revision">
    <w:name w:val="Revision"/>
    <w:hidden/>
    <w:uiPriority w:val="99"/>
    <w:semiHidden/>
    <w:rsid w:val="0055623E"/>
    <w:rPr>
      <w:rFonts w:ascii="Verdana" w:hAnsi="Verdana"/>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3983">
      <w:bodyDiv w:val="1"/>
      <w:marLeft w:val="0"/>
      <w:marRight w:val="0"/>
      <w:marTop w:val="0"/>
      <w:marBottom w:val="0"/>
      <w:divBdr>
        <w:top w:val="none" w:sz="0" w:space="0" w:color="auto"/>
        <w:left w:val="none" w:sz="0" w:space="0" w:color="auto"/>
        <w:bottom w:val="none" w:sz="0" w:space="0" w:color="auto"/>
        <w:right w:val="none" w:sz="0" w:space="0" w:color="auto"/>
      </w:divBdr>
    </w:div>
    <w:div w:id="19514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ACD45-21C7-41E6-BE5F-50AE647A6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5721</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2022-10-24T15:50:00Z</dcterms:created>
  <dcterms:modified xsi:type="dcterms:W3CDTF">2022-10-24T15:50:00Z</dcterms:modified>
</cp:coreProperties>
</file>